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="00B93722">
        <w:rPr>
          <w:rFonts w:asciiTheme="minorHAnsi" w:hAnsiTheme="minorHAnsi"/>
          <w:sz w:val="22"/>
          <w:szCs w:val="22"/>
        </w:rPr>
        <w:t>Z</w:t>
      </w:r>
      <w:bookmarkStart w:id="0" w:name="_GoBack"/>
      <w:bookmarkEnd w:id="0"/>
      <w:r w:rsidR="00B93722" w:rsidRPr="007D4EE2">
        <w:rPr>
          <w:rFonts w:ascii="Calibri" w:hAnsi="Calibri"/>
          <w:b/>
          <w:sz w:val="22"/>
          <w:szCs w:val="22"/>
        </w:rPr>
        <w:t xml:space="preserve">akup energii elektrycznej na potrzeby </w:t>
      </w:r>
      <w:r w:rsidR="00B93722">
        <w:rPr>
          <w:rFonts w:ascii="Calibri" w:hAnsi="Calibri"/>
          <w:b/>
          <w:sz w:val="22"/>
          <w:szCs w:val="22"/>
        </w:rPr>
        <w:t>Gminy Grabowiec i jej jednostek organizacyjnych</w:t>
      </w:r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KRS/CEiDG)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B93722" w:rsidP="00D16A07">
    <w:pPr>
      <w:pStyle w:val="Stopka"/>
      <w:ind w:right="360"/>
    </w:pPr>
  </w:p>
  <w:p w:rsidR="00265041" w:rsidRDefault="00B937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B93722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B937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B93722">
    <w:pPr>
      <w:pStyle w:val="Nagwek"/>
    </w:pPr>
  </w:p>
  <w:p w:rsidR="00265041" w:rsidRDefault="00B93722">
    <w:pPr>
      <w:pStyle w:val="Nagwek"/>
    </w:pPr>
  </w:p>
  <w:p w:rsidR="00265041" w:rsidRDefault="00B937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B9372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FA2D90"/>
  <w15:docId w15:val="{83F79C45-7A17-48FC-B298-3885438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User3</cp:lastModifiedBy>
  <cp:revision>11</cp:revision>
  <dcterms:created xsi:type="dcterms:W3CDTF">2017-01-11T09:18:00Z</dcterms:created>
  <dcterms:modified xsi:type="dcterms:W3CDTF">2019-10-21T09:24:00Z</dcterms:modified>
</cp:coreProperties>
</file>